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PEJABAT BENDAHARI </w:t>
        <w:br w:type="textWrapping"/>
        <w:t xml:space="preserve">UiTM CAWANGAN KEDAH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SENARAI SEMAK DOKUMEN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PESANAN JABATAN(PJ)/LOCAL ORDER(LO)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BEKALAN DI BAWAH RM10,000 DAN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PERKHIDMATAN DI BAWAH RM20,000.00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2145"/>
        <w:gridCol w:w="5415"/>
        <w:gridCol w:w="975"/>
        <w:tblGridChange w:id="0">
          <w:tblGrid>
            <w:gridCol w:w="795"/>
            <w:gridCol w:w="2145"/>
            <w:gridCol w:w="5415"/>
            <w:gridCol w:w="975"/>
          </w:tblGrid>
        </w:tblGridChange>
      </w:tblGrid>
      <w:tr>
        <w:trPr>
          <w:cantSplit w:val="0"/>
          <w:trHeight w:val="1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0" distT="0" distL="0" distR="0">
                  <wp:extent cx="1693545" cy="723265"/>
                  <wp:effectExtent b="0" l="0" r="0" t="0"/>
                  <wp:docPr descr="See the source image" id="8" name="image1.gif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SENARAI SEMAK DOKUMEN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PERKHIDMATAN BAWAH RM20,000.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BAGI TUJUAN PENGELUARAN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PESANAN JABATAN(PJ)/LOCAL ORDER(LO)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ADA (√)</w:t>
                </w:r>
              </w:sdtContent>
            </w:sdt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Borang Peruntukan PB 3/80(Pindaan 1/2002) Pejabat Bendahari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  Peruntukan Pengurusan (SA) dan Pendapatan (KY) sahaja</w:t>
            </w:r>
          </w:p>
          <w:p w:rsidR="00000000" w:rsidDel="00000000" w:rsidP="00000000" w:rsidRDefault="00000000" w:rsidRPr="00000000" w14:paraId="00000021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Lampiran B – Senarai semakan Pegawai yang menguruskan</w:t>
            </w:r>
          </w:p>
          <w:p w:rsidR="00000000" w:rsidDel="00000000" w:rsidP="00000000" w:rsidRDefault="00000000" w:rsidRPr="00000000" w14:paraId="00000028">
            <w:pPr>
              <w:ind w:left="170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Pembelian Terus Barang / Perkhidmatan melebihi RM1,000.00</w:t>
            </w:r>
          </w:p>
          <w:p w:rsidR="00000000" w:rsidDel="00000000" w:rsidP="00000000" w:rsidRDefault="00000000" w:rsidRPr="00000000" w14:paraId="00000029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Lampiran A – Pengesahan Kemunasabahan Harga </w:t>
            </w:r>
          </w:p>
          <w:p w:rsidR="00000000" w:rsidDel="00000000" w:rsidP="00000000" w:rsidRDefault="00000000" w:rsidRPr="00000000" w14:paraId="00000030">
            <w:pPr>
              <w:ind w:left="170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(jika 1 sebutharga)</w:t>
            </w:r>
          </w:p>
          <w:p w:rsidR="00000000" w:rsidDel="00000000" w:rsidP="00000000" w:rsidRDefault="00000000" w:rsidRPr="00000000" w14:paraId="00000031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Sebutharga daripada Pembekal </w:t>
            </w:r>
          </w:p>
          <w:p w:rsidR="00000000" w:rsidDel="00000000" w:rsidP="00000000" w:rsidRDefault="00000000" w:rsidRPr="00000000" w14:paraId="00000038">
            <w:pPr>
              <w:ind w:left="164" w:firstLine="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(Fax dan email diterima jika 1 sebutharga sahaja. PTJ digalakkan membuka sebut harga kepada 2 atau lebih syarikat)</w:t>
            </w:r>
          </w:p>
          <w:p w:rsidR="00000000" w:rsidDel="00000000" w:rsidP="00000000" w:rsidRDefault="00000000" w:rsidRPr="00000000" w14:paraId="00000039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Lampiran 2B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Borang Pelawaan Sebutharga</w:t>
            </w:r>
          </w:p>
          <w:p w:rsidR="00000000" w:rsidDel="00000000" w:rsidP="00000000" w:rsidRDefault="00000000" w:rsidRPr="00000000" w14:paraId="00000040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(Fax dan email diterima jika 1 sebutharga sahaja.)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Lampiran 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Jadual Analisa Harga (jika lebih daripada 1 sebutharga)</w:t>
            </w:r>
          </w:p>
          <w:p w:rsidR="00000000" w:rsidDel="00000000" w:rsidP="00000000" w:rsidRDefault="00000000" w:rsidRPr="00000000" w14:paraId="00000048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Surat kelulusan yang berkaitan.</w:t>
            </w:r>
          </w:p>
          <w:p w:rsidR="00000000" w:rsidDel="00000000" w:rsidP="00000000" w:rsidRDefault="00000000" w:rsidRPr="00000000" w14:paraId="0000004F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Contoh: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Jawatankuasa Teknikal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</wp:posOffset>
                      </wp:positionV>
                      <wp:extent cx="230505" cy="133159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5510" y="3118965"/>
                                <a:ext cx="220980" cy="1322070"/>
                              </a:xfrm>
                              <a:prstGeom prst="rightBrace">
                                <a:avLst>
                                  <a:gd fmla="val 8333" name="adj1"/>
                                  <a:gd fmla="val 50000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</wp:posOffset>
                      </wp:positionV>
                      <wp:extent cx="230505" cy="1331595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505" cy="1331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JKE/PPSM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Jawatankuasa JITEN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Ketua PTJ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58420</wp:posOffset>
                      </wp:positionV>
                      <wp:extent cx="1040765" cy="469900"/>
                      <wp:effectExtent b="0" l="0" r="0" t="0"/>
                      <wp:wrapSquare wrapText="bothSides" distB="45720" distT="45720" distL="114300" distR="11430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30380" y="3549813"/>
                                <a:ext cx="103124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Jika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berkenaan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58420</wp:posOffset>
                      </wp:positionV>
                      <wp:extent cx="1040765" cy="469900"/>
                      <wp:effectExtent b="0" l="0" r="0" t="0"/>
                      <wp:wrapSquare wrapText="bothSides" distB="45720" distT="45720" distL="114300" distR="114300"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0765" cy="469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Program/Aktiviti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Naib Canselor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Program Luar UiTM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Tabung Amanah</w:t>
            </w:r>
          </w:p>
          <w:p w:rsidR="00000000" w:rsidDel="00000000" w:rsidP="00000000" w:rsidRDefault="00000000" w:rsidRPr="00000000" w14:paraId="00000058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Lain-lain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Pastikan Vendor telah berdaftar dalam Sistem e-Procurement Plus Vendor UiTM</w:t>
            </w:r>
          </w:p>
          <w:p w:rsidR="00000000" w:rsidDel="00000000" w:rsidP="00000000" w:rsidRDefault="00000000" w:rsidRPr="00000000" w14:paraId="00000060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55" w:top="9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24" w:hanging="360"/>
      </w:pPr>
      <w:rPr/>
    </w:lvl>
    <w:lvl w:ilvl="1">
      <w:start w:val="1"/>
      <w:numFmt w:val="lowerLetter"/>
      <w:lvlText w:val="%2."/>
      <w:lvlJc w:val="left"/>
      <w:pPr>
        <w:ind w:left="1244" w:hanging="360"/>
      </w:pPr>
      <w:rPr/>
    </w:lvl>
    <w:lvl w:ilvl="2">
      <w:start w:val="1"/>
      <w:numFmt w:val="lowerRoman"/>
      <w:lvlText w:val="%3."/>
      <w:lvlJc w:val="right"/>
      <w:pPr>
        <w:ind w:left="1964" w:hanging="180"/>
      </w:pPr>
      <w:rPr/>
    </w:lvl>
    <w:lvl w:ilvl="3">
      <w:start w:val="1"/>
      <w:numFmt w:val="decimal"/>
      <w:lvlText w:val="%4."/>
      <w:lvlJc w:val="left"/>
      <w:pPr>
        <w:ind w:left="2684" w:hanging="360"/>
      </w:pPr>
      <w:rPr/>
    </w:lvl>
    <w:lvl w:ilvl="4">
      <w:start w:val="1"/>
      <w:numFmt w:val="lowerLetter"/>
      <w:lvlText w:val="%5."/>
      <w:lvlJc w:val="left"/>
      <w:pPr>
        <w:ind w:left="3404" w:hanging="360"/>
      </w:pPr>
      <w:rPr/>
    </w:lvl>
    <w:lvl w:ilvl="5">
      <w:start w:val="1"/>
      <w:numFmt w:val="lowerRoman"/>
      <w:lvlText w:val="%6."/>
      <w:lvlJc w:val="right"/>
      <w:pPr>
        <w:ind w:left="4124" w:hanging="180"/>
      </w:pPr>
      <w:rPr/>
    </w:lvl>
    <w:lvl w:ilvl="6">
      <w:start w:val="1"/>
      <w:numFmt w:val="decimal"/>
      <w:lvlText w:val="%7."/>
      <w:lvlJc w:val="left"/>
      <w:pPr>
        <w:ind w:left="4844" w:hanging="360"/>
      </w:pPr>
      <w:rPr/>
    </w:lvl>
    <w:lvl w:ilvl="7">
      <w:start w:val="1"/>
      <w:numFmt w:val="lowerLetter"/>
      <w:lvlText w:val="%8."/>
      <w:lvlJc w:val="left"/>
      <w:pPr>
        <w:ind w:left="5564" w:hanging="360"/>
      </w:pPr>
      <w:rPr/>
    </w:lvl>
    <w:lvl w:ilvl="8">
      <w:start w:val="1"/>
      <w:numFmt w:val="lowerRoman"/>
      <w:lvlText w:val="%9."/>
      <w:lvlJc w:val="right"/>
      <w:pPr>
        <w:ind w:left="6284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0897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qFormat w:val="1"/>
    <w:rsid w:val="00F70897"/>
    <w:pPr>
      <w:spacing w:after="0" w:line="240" w:lineRule="auto"/>
    </w:pPr>
    <w:rPr>
      <w:sz w:val="20"/>
      <w:szCs w:val="20"/>
      <w:lang w:eastAsia="en-MY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708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BsmyOQGVcixntsXj6/NGirLA+Q==">AMUW2mVshncpNO5l6ReXAKZEI/NYEkPbkiQQUrMbMeKSg6bWu6Nk0baBEDVQR/15chtcg4k7MyK8qxjgAAMI/EtMb5scYKakgOAC1jhyPHKxJPkFLBWiZsDGvFEGnJh4Hv7QMHzrGrZ3IFJsjCEghzpWJxZhduUbFNRz65h0+urK75AIoeR++yU=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2022-07-27T00:57:00Z</dcterms:created>
  <dc:creator>KKEW_HIDAYAH2</dc:creator>
</cp:coreProperties>
</file>